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Диагностика и лечение образований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кожи  у детей: опыт одного центра</w:t>
      </w:r>
      <w:r>
        <w:rPr>
          <w:rFonts w:ascii="Times New Roman" w:hAnsi="Times New Roman" w:cs="Times New Roman"/>
          <w:b/>
          <w:sz w:val="24"/>
          <w:szCs w:val="24"/>
        </w:rPr>
        <w:t xml:space="preserve">, 2021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Зуева Ю.Е.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Конусова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Ю.А.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Белогурова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М.Б.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, Федоров В.С.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Радулеску</w:t>
      </w:r>
      <w:r>
        <w:rPr>
          <w:rFonts w:ascii="Times New Roman" w:hAnsi="Times New Roman" w:cs="Times New Roman"/>
          <w:b/>
          <w:sz w:val="24"/>
          <w:szCs w:val="24"/>
        </w:rPr>
        <w:t xml:space="preserve"> Г.Г.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Шац</w:t>
      </w:r>
      <w:r>
        <w:rPr>
          <w:rFonts w:ascii="Times New Roman" w:hAnsi="Times New Roman" w:cs="Times New Roman"/>
          <w:b/>
          <w:sz w:val="24"/>
          <w:szCs w:val="24"/>
        </w:rPr>
        <w:t xml:space="preserve"> Л.И.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, Викторович Т.Д.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/>
      <w:hyperlink r:id="rId8" w:tooltip="mailto:doctor_chervonyuk@mail.ru" w:history="1">
        <w:r>
          <w:rPr>
            <w:rStyle w:val="661"/>
            <w:rFonts w:ascii="Times New Roman" w:hAnsi="Times New Roman" w:cs="Times New Roman"/>
            <w:b/>
            <w:sz w:val="24"/>
            <w:szCs w:val="24"/>
            <w:lang w:val="en-US"/>
          </w:rPr>
          <w:t xml:space="preserve">doctor</w:t>
        </w:r>
        <w:r>
          <w:rPr>
            <w:rStyle w:val="661"/>
            <w:rFonts w:ascii="Times New Roman" w:hAnsi="Times New Roman" w:cs="Times New Roman"/>
            <w:b/>
            <w:sz w:val="24"/>
            <w:szCs w:val="24"/>
          </w:rPr>
          <w:t xml:space="preserve">_</w:t>
        </w:r>
        <w:r>
          <w:rPr>
            <w:rStyle w:val="661"/>
            <w:rFonts w:ascii="Times New Roman" w:hAnsi="Times New Roman" w:cs="Times New Roman"/>
            <w:b/>
            <w:sz w:val="24"/>
            <w:szCs w:val="24"/>
            <w:lang w:val="en-US"/>
          </w:rPr>
          <w:t xml:space="preserve">chervonyuk</w:t>
        </w:r>
        <w:r>
          <w:rPr>
            <w:rStyle w:val="661"/>
            <w:rFonts w:ascii="Times New Roman" w:hAnsi="Times New Roman" w:cs="Times New Roman"/>
            <w:b/>
            <w:sz w:val="24"/>
            <w:szCs w:val="24"/>
          </w:rPr>
          <w:t xml:space="preserve">@</w:t>
        </w:r>
        <w:r>
          <w:rPr>
            <w:rStyle w:val="661"/>
            <w:rFonts w:ascii="Times New Roman" w:hAnsi="Times New Roman" w:cs="Times New Roman"/>
            <w:b/>
            <w:sz w:val="24"/>
            <w:szCs w:val="24"/>
            <w:lang w:val="en-US"/>
          </w:rPr>
          <w:t xml:space="preserve">mail</w:t>
        </w:r>
        <w:r>
          <w:rPr>
            <w:rStyle w:val="661"/>
            <w:rFonts w:ascii="Times New Roman" w:hAnsi="Times New Roman" w:cs="Times New Roman"/>
            <w:b/>
            <w:sz w:val="24"/>
            <w:szCs w:val="24"/>
          </w:rPr>
          <w:t xml:space="preserve">.</w:t>
        </w:r>
        <w:r>
          <w:rPr>
            <w:rStyle w:val="661"/>
            <w:rFonts w:ascii="Times New Roman" w:hAnsi="Times New Roman" w:cs="Times New Roman"/>
            <w:b/>
            <w:sz w:val="24"/>
            <w:szCs w:val="24"/>
            <w:lang w:val="en-US"/>
          </w:rPr>
          <w:t xml:space="preserve">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, +7969-737-28-23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учреждение здравоохранения «Санкт-Петербургский к</w:t>
      </w:r>
      <w:r>
        <w:rPr>
          <w:rFonts w:ascii="Times New Roman" w:hAnsi="Times New Roman" w:cs="Times New Roman"/>
          <w:b/>
          <w:sz w:val="24"/>
          <w:szCs w:val="24"/>
        </w:rPr>
        <w:t xml:space="preserve">линический научно-практический центр специализированных видов медицинской помощи (онкологический) </w:t>
      </w:r>
      <w:r>
        <w:rPr>
          <w:rFonts w:ascii="Times New Roman" w:hAnsi="Times New Roman" w:cs="Times New Roman"/>
          <w:b/>
          <w:sz w:val="24"/>
          <w:szCs w:val="24"/>
        </w:rPr>
        <w:t xml:space="preserve">имени </w:t>
      </w:r>
      <w:r>
        <w:rPr>
          <w:rFonts w:ascii="Times New Roman" w:hAnsi="Times New Roman" w:cs="Times New Roman"/>
          <w:b/>
          <w:sz w:val="24"/>
          <w:szCs w:val="24"/>
        </w:rPr>
        <w:t xml:space="preserve">Н.П.Напалкова</w:t>
      </w:r>
      <w:r>
        <w:rPr>
          <w:rFonts w:ascii="Times New Roman" w:hAnsi="Times New Roman" w:cs="Times New Roman"/>
          <w:b/>
          <w:sz w:val="24"/>
          <w:szCs w:val="24"/>
        </w:rPr>
        <w:t xml:space="preserve">»</w:t>
      </w:r>
      <w:r>
        <w:rPr>
          <w:rFonts w:ascii="Times New Roman" w:hAnsi="Times New Roman" w:cs="Times New Roman"/>
          <w:b/>
          <w:sz w:val="24"/>
          <w:szCs w:val="24"/>
        </w:rPr>
        <w:t xml:space="preserve">, Санкт-Петербург Россия, поселок Песочный </w:t>
      </w:r>
      <w:r>
        <w:rPr>
          <w:rFonts w:ascii="Times New Roman" w:hAnsi="Times New Roman" w:cs="Times New Roman"/>
          <w:b/>
          <w:sz w:val="24"/>
          <w:szCs w:val="24"/>
        </w:rPr>
        <w:t xml:space="preserve">ул</w:t>
      </w:r>
      <w:r>
        <w:rPr>
          <w:rFonts w:ascii="Times New Roman" w:hAnsi="Times New Roman" w:cs="Times New Roman"/>
          <w:b/>
          <w:sz w:val="24"/>
          <w:szCs w:val="24"/>
        </w:rPr>
        <w:t xml:space="preserve">.Л</w:t>
      </w:r>
      <w:r>
        <w:rPr>
          <w:rFonts w:ascii="Times New Roman" w:hAnsi="Times New Roman" w:cs="Times New Roman"/>
          <w:b/>
          <w:sz w:val="24"/>
          <w:szCs w:val="24"/>
        </w:rPr>
        <w:t xml:space="preserve">енинградская</w:t>
      </w:r>
      <w:r>
        <w:rPr>
          <w:rFonts w:ascii="Times New Roman" w:hAnsi="Times New Roman" w:cs="Times New Roman"/>
          <w:b/>
          <w:sz w:val="24"/>
          <w:szCs w:val="24"/>
        </w:rPr>
        <w:t xml:space="preserve"> 68 А.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iagno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sis and treatment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skin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formations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in children: experience of one center, 2021.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Zueva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Yu.E.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Konusova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Yu.A.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Belogurova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M.B.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Fedorov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V.S.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Radulescu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G.G.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Shats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L.I.1,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Viktorovich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T.D.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val="en-US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1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State budgetary healthcare institution "St. Petersburg Clinical Scientific and Practical Center for Specialized Types of Medical Care (Oncology) named after N.P.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Napalkov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"</w: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Актуальность: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кожи представляют собой гетерогенную группу заболеваний, которые могут быть разделены </w:t>
      </w:r>
      <w:r>
        <w:rPr>
          <w:rFonts w:ascii="Times New Roman" w:hAnsi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cs="Times New Roman"/>
          <w:sz w:val="24"/>
          <w:szCs w:val="24"/>
        </w:rPr>
        <w:t xml:space="preserve"> злокачественные и доброкачественные. В детской популяции доброкачественные образования кожи встречаются чаще, чем злокачественные. Частота встречаемости злокачественных образований кожи, таких как меланома, базальноклеточная карцинома и </w:t>
      </w:r>
      <w:r>
        <w:rPr>
          <w:rFonts w:ascii="Times New Roman" w:hAnsi="Times New Roman" w:cs="Times New Roman"/>
          <w:sz w:val="24"/>
          <w:szCs w:val="24"/>
        </w:rPr>
        <w:t xml:space="preserve">лимфомы</w:t>
      </w:r>
      <w:r>
        <w:rPr>
          <w:rFonts w:ascii="Times New Roman" w:hAnsi="Times New Roman" w:cs="Times New Roman"/>
          <w:sz w:val="24"/>
          <w:szCs w:val="24"/>
        </w:rPr>
        <w:t xml:space="preserve"> кожи, невелика и составляет менее 1% от общего числа случаев </w:t>
      </w:r>
      <w:r>
        <w:rPr>
          <w:rFonts w:ascii="Times New Roman" w:hAnsi="Times New Roman" w:cs="Times New Roman"/>
          <w:sz w:val="24"/>
          <w:szCs w:val="24"/>
        </w:rPr>
        <w:t xml:space="preserve">онко</w:t>
      </w:r>
      <w:r>
        <w:rPr>
          <w:rFonts w:ascii="Times New Roman" w:hAnsi="Times New Roman" w:cs="Times New Roman"/>
          <w:sz w:val="24"/>
          <w:szCs w:val="24"/>
        </w:rPr>
        <w:t xml:space="preserve">патологии</w:t>
      </w:r>
      <w:r>
        <w:rPr>
          <w:rFonts w:ascii="Times New Roman" w:hAnsi="Times New Roman" w:cs="Times New Roman"/>
          <w:sz w:val="24"/>
          <w:szCs w:val="24"/>
        </w:rPr>
        <w:t xml:space="preserve"> у детей и подростков.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кожи, дети, </w:t>
      </w:r>
      <w:r>
        <w:rPr>
          <w:rFonts w:ascii="Times New Roman" w:hAnsi="Times New Roman" w:cs="Times New Roman"/>
          <w:sz w:val="24"/>
          <w:szCs w:val="24"/>
        </w:rPr>
        <w:t xml:space="preserve">невусы</w:t>
      </w:r>
      <w:r>
        <w:rPr>
          <w:rFonts w:ascii="Times New Roman" w:hAnsi="Times New Roman" w:cs="Times New Roman"/>
          <w:sz w:val="24"/>
          <w:szCs w:val="24"/>
        </w:rPr>
        <w:t xml:space="preserve">, меланома.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Keywords:</w:t>
      </w:r>
      <w:r>
        <w:rPr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skin formations, children, nevi,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melanoma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исследования </w:t>
      </w:r>
      <w:r>
        <w:rPr>
          <w:rFonts w:ascii="Times New Roman" w:hAnsi="Times New Roman" w:cs="Times New Roman"/>
          <w:sz w:val="24"/>
          <w:szCs w:val="24"/>
        </w:rPr>
        <w:t xml:space="preserve">заключается  в изучении характеристик диагностики и лечения образований кожи у детей на основе анализа клинической практики в одном центре.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Пациенты</w:t>
      </w:r>
      <w:r>
        <w:rPr>
          <w:rFonts w:ascii="Times New Roman" w:hAnsi="Times New Roman" w:cs="Times New Roman"/>
          <w:b/>
          <w:sz w:val="24"/>
          <w:szCs w:val="24"/>
        </w:rPr>
        <w:t xml:space="preserve"> и методы: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проведения анализа мы использовали данные ретроспективного изучения </w:t>
      </w:r>
      <w:r>
        <w:rPr>
          <w:rFonts w:ascii="Times New Roman" w:hAnsi="Times New Roman" w:cs="Times New Roman"/>
          <w:sz w:val="24"/>
          <w:szCs w:val="24"/>
        </w:rPr>
        <w:t xml:space="preserve">образований</w:t>
      </w:r>
      <w:r>
        <w:rPr>
          <w:rFonts w:ascii="Times New Roman" w:hAnsi="Times New Roman" w:cs="Times New Roman"/>
          <w:sz w:val="24"/>
          <w:szCs w:val="24"/>
        </w:rPr>
        <w:t xml:space="preserve"> кожи у детей за период с января по декабрь 2021 года. Всего было зафиксировано 178 случаев обращения детей в возрасте от 0 до 18 лет. Средний возраст пациентов:</w:t>
      </w:r>
      <w:r>
        <w:rPr>
          <w:rFonts w:ascii="Times New Roman" w:hAnsi="Times New Roman" w:cs="Times New Roman"/>
          <w:sz w:val="24"/>
          <w:szCs w:val="24"/>
        </w:rPr>
        <w:t xml:space="preserve"> 0,9 лет.</w:t>
      </w:r>
      <w:r>
        <w:rPr>
          <w:rFonts w:ascii="Times New Roman" w:hAnsi="Times New Roman" w:cs="Times New Roman"/>
          <w:sz w:val="24"/>
          <w:szCs w:val="24"/>
        </w:rPr>
        <w:t xml:space="preserve"> В 48 случаях  обращений (26,9% ) проведена </w:t>
      </w:r>
      <w:r>
        <w:rPr>
          <w:rFonts w:ascii="Times New Roman" w:hAnsi="Times New Roman" w:cs="Times New Roman"/>
          <w:sz w:val="24"/>
          <w:szCs w:val="24"/>
        </w:rPr>
        <w:t xml:space="preserve">эксцизионная</w:t>
      </w:r>
      <w:r>
        <w:rPr>
          <w:rFonts w:ascii="Times New Roman" w:hAnsi="Times New Roman" w:cs="Times New Roman"/>
          <w:sz w:val="24"/>
          <w:szCs w:val="24"/>
        </w:rPr>
        <w:t xml:space="preserve"> биопсия с целью верификации патологического процесса, в то время как 130 пациентов (73%) оставле</w:t>
      </w:r>
      <w:r>
        <w:rPr>
          <w:rFonts w:ascii="Times New Roman" w:hAnsi="Times New Roman" w:cs="Times New Roman"/>
          <w:sz w:val="24"/>
          <w:szCs w:val="24"/>
        </w:rPr>
        <w:t xml:space="preserve">ны под наблюдением. После получения гистологического заключения, в случае доброкачественного характера образования, дальнейшая диагностика не проводилась. Однако, при выявлении злокачественных опухолей, были выполнены МСКТ органов грудной клетки и брюшной </w:t>
      </w:r>
      <w:r>
        <w:rPr>
          <w:rFonts w:ascii="Times New Roman" w:hAnsi="Times New Roman" w:cs="Times New Roman"/>
          <w:sz w:val="24"/>
          <w:szCs w:val="24"/>
        </w:rPr>
        <w:t xml:space="preserve">полости с контрастированием участков, ультразвуковое исследование периферических лимфоузлов, а также биопсия сторожевого лимфоузла для определения степени распространенности опухолевого процесса. Кроме того, проведено молекулярно-генетическое исследование </w:t>
      </w:r>
      <w:r>
        <w:rPr>
          <w:rFonts w:ascii="Times New Roman" w:hAnsi="Times New Roman" w:cs="Times New Roman"/>
          <w:sz w:val="24"/>
          <w:szCs w:val="24"/>
        </w:rPr>
        <w:t xml:space="preserve">гистологического материала на наличие мутаций: BRAF, c-</w:t>
      </w:r>
      <w:r>
        <w:rPr>
          <w:rFonts w:ascii="Times New Roman" w:hAnsi="Times New Roman" w:cs="Times New Roman"/>
          <w:sz w:val="24"/>
          <w:szCs w:val="24"/>
        </w:rPr>
        <w:t xml:space="preserve">Kit</w:t>
      </w:r>
      <w:r>
        <w:rPr>
          <w:rFonts w:ascii="Times New Roman" w:hAnsi="Times New Roman" w:cs="Times New Roman"/>
          <w:sz w:val="24"/>
          <w:szCs w:val="24"/>
        </w:rPr>
        <w:t xml:space="preserve">, NRAS, TRT. У всех пациентов была диагностирована локальная стадия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T1N0M</w:t>
      </w:r>
      <w:r>
        <w:rPr>
          <w:rFonts w:ascii="Times New Roman" w:hAnsi="Times New Roman" w:cs="Times New Roman"/>
          <w:sz w:val="24"/>
          <w:szCs w:val="24"/>
        </w:rPr>
        <w:t xml:space="preserve">0)</w:t>
      </w:r>
      <w:r>
        <w:rPr>
          <w:rFonts w:ascii="Times New Roman" w:hAnsi="Times New Roman" w:cs="Times New Roman"/>
          <w:sz w:val="24"/>
          <w:szCs w:val="24"/>
        </w:rPr>
        <w:t xml:space="preserve">. В течение 4 недель после операции была проведена расширенная резекция послеоперационного рубца в соответствии с толщиной поражения по системе </w:t>
      </w:r>
      <w:r>
        <w:rPr>
          <w:rFonts w:ascii="Times New Roman" w:hAnsi="Times New Roman" w:cs="Times New Roman"/>
          <w:sz w:val="24"/>
          <w:szCs w:val="24"/>
        </w:rPr>
        <w:t xml:space="preserve">Breslou</w:t>
      </w:r>
      <w:r>
        <w:rPr>
          <w:rFonts w:ascii="Times New Roman" w:hAnsi="Times New Roman" w:cs="Times New Roman"/>
          <w:sz w:val="24"/>
          <w:szCs w:val="24"/>
        </w:rPr>
        <w:t xml:space="preserve">. Пациенты оставлены под динамическим наблюдением согласно клиническим рекомендациям Минздрава России.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Доброкачественные образования кожи преобладали в нашей выборке: из 178 пациентов 99% (176 случаев) имели доброкачественные образования кожи. Среди них встречались </w:t>
      </w:r>
      <w:r>
        <w:rPr>
          <w:rFonts w:ascii="Times New Roman" w:hAnsi="Times New Roman" w:cs="Times New Roman"/>
          <w:sz w:val="24"/>
          <w:szCs w:val="24"/>
        </w:rPr>
        <w:t xml:space="preserve">меланоцитарные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невусы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гемангиомы</w:t>
      </w:r>
      <w:r>
        <w:rPr>
          <w:rFonts w:ascii="Times New Roman" w:hAnsi="Times New Roman" w:cs="Times New Roman"/>
          <w:sz w:val="24"/>
          <w:szCs w:val="24"/>
        </w:rPr>
        <w:t xml:space="preserve">, атеромы, </w:t>
      </w:r>
      <w:r>
        <w:rPr>
          <w:rFonts w:ascii="Times New Roman" w:hAnsi="Times New Roman" w:cs="Times New Roman"/>
          <w:sz w:val="24"/>
          <w:szCs w:val="24"/>
        </w:rPr>
        <w:t xml:space="preserve">дермоидные</w:t>
      </w:r>
      <w:r>
        <w:rPr>
          <w:rFonts w:ascii="Times New Roman" w:hAnsi="Times New Roman" w:cs="Times New Roman"/>
          <w:sz w:val="24"/>
          <w:szCs w:val="24"/>
        </w:rPr>
        <w:t xml:space="preserve"> кисты, </w:t>
      </w:r>
      <w:r>
        <w:rPr>
          <w:rFonts w:ascii="Times New Roman" w:hAnsi="Times New Roman" w:cs="Times New Roman"/>
          <w:sz w:val="24"/>
          <w:szCs w:val="24"/>
        </w:rPr>
        <w:t xml:space="preserve">ретикулогистиоцитомы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дерматофибромы</w:t>
      </w:r>
      <w:r>
        <w:rPr>
          <w:rFonts w:ascii="Times New Roman" w:hAnsi="Times New Roman" w:cs="Times New Roman"/>
          <w:sz w:val="24"/>
          <w:szCs w:val="24"/>
        </w:rPr>
        <w:t xml:space="preserve"> и другие доброкачественные опухоли кожи. Всего 1% (2 случая) пациентов были диагностированы с меланомой кожи на локальных стадиях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Выводы:</w:t>
      </w:r>
      <w:r>
        <w:rPr>
          <w:rFonts w:ascii="Times New Roman" w:hAnsi="Times New Roman" w:cs="Times New Roman"/>
          <w:sz w:val="24"/>
          <w:szCs w:val="24"/>
        </w:rPr>
        <w:t xml:space="preserve"> диагностика опухолей кожи, как доброкачественных, так и злокачественных, должна проводиться в специализированных клиниках специалистами данной области. Манифестация меланомы в детском возрасте представляет собой крайне редкую ситуацию, требующую </w:t>
      </w:r>
      <w:r>
        <w:rPr>
          <w:rFonts w:ascii="Times New Roman" w:hAnsi="Times New Roman" w:cs="Times New Roman"/>
          <w:sz w:val="24"/>
          <w:szCs w:val="24"/>
        </w:rPr>
        <w:t xml:space="preserve">мультидисциплинарного</w:t>
      </w:r>
      <w:r>
        <w:rPr>
          <w:rFonts w:ascii="Times New Roman" w:hAnsi="Times New Roman" w:cs="Times New Roman"/>
          <w:sz w:val="24"/>
          <w:szCs w:val="24"/>
        </w:rPr>
        <w:t xml:space="preserve"> подхода к диагностике и лечению.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57"/>
    <w:uiPriority w:val="99"/>
  </w:style>
  <w:style w:type="character" w:styleId="45">
    <w:name w:val="Footer Char"/>
    <w:basedOn w:val="654"/>
    <w:link w:val="659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59"/>
    <w:uiPriority w:val="99"/>
  </w:style>
  <w:style w:type="table" w:styleId="48">
    <w:name w:val="Table Grid"/>
    <w:basedOn w:val="65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Header"/>
    <w:basedOn w:val="653"/>
    <w:link w:val="6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58" w:customStyle="1">
    <w:name w:val="Верхний колонтитул Знак"/>
    <w:basedOn w:val="654"/>
    <w:link w:val="657"/>
    <w:uiPriority w:val="99"/>
  </w:style>
  <w:style w:type="paragraph" w:styleId="659">
    <w:name w:val="Footer"/>
    <w:basedOn w:val="653"/>
    <w:link w:val="66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0" w:customStyle="1">
    <w:name w:val="Нижний колонтитул Знак"/>
    <w:basedOn w:val="654"/>
    <w:link w:val="659"/>
    <w:uiPriority w:val="99"/>
  </w:style>
  <w:style w:type="character" w:styleId="661">
    <w:name w:val="Hyperlink"/>
    <w:basedOn w:val="654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doctor_chervonyuk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Мария Григорьева</cp:lastModifiedBy>
  <cp:revision>17</cp:revision>
  <dcterms:created xsi:type="dcterms:W3CDTF">2024-03-11T08:34:00Z</dcterms:created>
  <dcterms:modified xsi:type="dcterms:W3CDTF">2024-05-20T14:54:55Z</dcterms:modified>
</cp:coreProperties>
</file>